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F0C5" w14:textId="209E4E66" w:rsidR="00B752EC" w:rsidRPr="007C3B73" w:rsidRDefault="00010DA7"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b/>
          <w:noProof/>
          <w:sz w:val="28"/>
          <w:szCs w:val="28"/>
          <w:lang w:val="en-GB"/>
        </w:rPr>
        <w:t>Ivan Repušić</w:t>
      </w:r>
      <w:r w:rsidRPr="007C3B73">
        <w:rPr>
          <w:rFonts w:ascii="Titillium Web" w:hAnsi="Titillium Web"/>
          <w:noProof/>
          <w:sz w:val="22"/>
          <w:szCs w:val="22"/>
          <w:lang w:val="en-GB"/>
        </w:rPr>
        <w:t xml:space="preserve"> </w:t>
      </w:r>
      <w:r w:rsidR="00B752EC" w:rsidRPr="007C3B73">
        <w:rPr>
          <w:rFonts w:ascii="Titillium Web" w:hAnsi="Titillium Web"/>
          <w:noProof/>
          <w:sz w:val="22"/>
          <w:szCs w:val="22"/>
          <w:lang w:val="en-GB"/>
        </w:rPr>
        <w:t>(b. 1978) is the General Music Director of the Leipzig Opera, Chief Conductor of the Munich Radio Orchestra, Chief Conductor of the Staatskapelle Weimar, and the first permanent guest conductor of the Deutsche Oper Berlin. He is widely regarded as one of Croatia’s leading conductors. He performs regularly in his homeland, where he also serves as Chief Conductor of the Zadar Chamber Orchestra.</w:t>
      </w:r>
    </w:p>
    <w:p w14:paraId="6469F3FD" w14:textId="0D512250"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His tenure as General Music Director of the Leipzig Opera began at the start of the 2025/2026 season with a highly acclaimed premiere of Giuseppe Verdi’s </w:t>
      </w:r>
      <w:r w:rsidRPr="007C3B73">
        <w:rPr>
          <w:rStyle w:val="Emphasis"/>
          <w:rFonts w:ascii="Titillium Web" w:hAnsi="Titillium Web"/>
          <w:noProof/>
          <w:sz w:val="22"/>
          <w:szCs w:val="22"/>
          <w:lang w:val="en-GB"/>
        </w:rPr>
        <w:t>Falstaff</w:t>
      </w:r>
      <w:r w:rsidRPr="007C3B73">
        <w:rPr>
          <w:rFonts w:ascii="Titillium Web" w:hAnsi="Titillium Web"/>
          <w:noProof/>
          <w:sz w:val="22"/>
          <w:szCs w:val="22"/>
          <w:lang w:val="en-GB"/>
        </w:rPr>
        <w:t xml:space="preserve">. During the same season, he also conducts </w:t>
      </w:r>
      <w:r w:rsidRPr="007C3B73">
        <w:rPr>
          <w:rStyle w:val="Emphasis"/>
          <w:rFonts w:ascii="Titillium Web" w:hAnsi="Titillium Web"/>
          <w:noProof/>
          <w:sz w:val="22"/>
          <w:szCs w:val="22"/>
          <w:lang w:val="en-GB"/>
        </w:rPr>
        <w:t>Rigoletto</w:t>
      </w:r>
      <w:r w:rsidRPr="007C3B73">
        <w:rPr>
          <w:rFonts w:ascii="Titillium Web" w:hAnsi="Titillium Web"/>
          <w:noProof/>
          <w:sz w:val="22"/>
          <w:szCs w:val="22"/>
          <w:lang w:val="en-GB"/>
        </w:rPr>
        <w:t xml:space="preserve">, </w:t>
      </w:r>
      <w:r w:rsidRPr="007C3B73">
        <w:rPr>
          <w:rStyle w:val="Emphasis"/>
          <w:rFonts w:ascii="Titillium Web" w:hAnsi="Titillium Web"/>
          <w:noProof/>
          <w:sz w:val="22"/>
          <w:szCs w:val="22"/>
          <w:lang w:val="en-GB"/>
        </w:rPr>
        <w:t>The Magic Flute</w:t>
      </w:r>
      <w:r w:rsidRPr="007C3B73">
        <w:rPr>
          <w:rFonts w:ascii="Titillium Web" w:hAnsi="Titillium Web"/>
          <w:noProof/>
          <w:sz w:val="22"/>
          <w:szCs w:val="22"/>
          <w:lang w:val="en-GB"/>
        </w:rPr>
        <w:t xml:space="preserve">, </w:t>
      </w:r>
      <w:r w:rsidRPr="007C3B73">
        <w:rPr>
          <w:rStyle w:val="Emphasis"/>
          <w:rFonts w:ascii="Titillium Web" w:hAnsi="Titillium Web"/>
          <w:noProof/>
          <w:sz w:val="22"/>
          <w:szCs w:val="22"/>
          <w:lang w:val="en-GB"/>
        </w:rPr>
        <w:t>La bohème</w:t>
      </w:r>
      <w:r w:rsidRPr="007C3B73">
        <w:rPr>
          <w:rFonts w:ascii="Titillium Web" w:hAnsi="Titillium Web"/>
          <w:noProof/>
          <w:sz w:val="22"/>
          <w:szCs w:val="22"/>
          <w:lang w:val="en-GB"/>
        </w:rPr>
        <w:t xml:space="preserve">, </w:t>
      </w:r>
      <w:r w:rsidRPr="007C3B73">
        <w:rPr>
          <w:rStyle w:val="Emphasis"/>
          <w:rFonts w:ascii="Titillium Web" w:hAnsi="Titillium Web"/>
          <w:noProof/>
          <w:sz w:val="22"/>
          <w:szCs w:val="22"/>
          <w:lang w:val="en-GB"/>
        </w:rPr>
        <w:t>The Flying Dutchman</w:t>
      </w:r>
      <w:r w:rsidRPr="007C3B73">
        <w:rPr>
          <w:rFonts w:ascii="Titillium Web" w:hAnsi="Titillium Web"/>
          <w:noProof/>
          <w:sz w:val="22"/>
          <w:szCs w:val="22"/>
          <w:lang w:val="en-GB"/>
        </w:rPr>
        <w:t xml:space="preserve">, and </w:t>
      </w:r>
      <w:r w:rsidRPr="007C3B73">
        <w:rPr>
          <w:rStyle w:val="Emphasis"/>
          <w:rFonts w:ascii="Titillium Web" w:hAnsi="Titillium Web"/>
          <w:noProof/>
          <w:sz w:val="22"/>
          <w:szCs w:val="22"/>
          <w:lang w:val="en-GB"/>
        </w:rPr>
        <w:t>Tristan und Isolde</w:t>
      </w:r>
      <w:r w:rsidRPr="007C3B73">
        <w:rPr>
          <w:rFonts w:ascii="Titillium Web" w:hAnsi="Titillium Web"/>
          <w:noProof/>
          <w:sz w:val="22"/>
          <w:szCs w:val="22"/>
          <w:lang w:val="en-GB"/>
        </w:rPr>
        <w:t xml:space="preserve">. With the Munich Radio Orchestra, his upcoming engagements include Verdi’s </w:t>
      </w:r>
      <w:r w:rsidRPr="007C3B73">
        <w:rPr>
          <w:rStyle w:val="Emphasis"/>
          <w:rFonts w:ascii="Titillium Web" w:hAnsi="Titillium Web"/>
          <w:noProof/>
          <w:sz w:val="22"/>
          <w:szCs w:val="22"/>
          <w:lang w:val="en-GB"/>
        </w:rPr>
        <w:t>Simon Boccanegra</w:t>
      </w:r>
      <w:r w:rsidRPr="007C3B73">
        <w:rPr>
          <w:rFonts w:ascii="Titillium Web" w:hAnsi="Titillium Web"/>
          <w:noProof/>
          <w:sz w:val="22"/>
          <w:szCs w:val="22"/>
          <w:lang w:val="en-GB"/>
        </w:rPr>
        <w:t xml:space="preserve">, a guest appearance in Budapest, a concert celebrating the 80th birthday of Pēteris Vasks, and, in June 2026, a farewell concert marking the conclusion of his tenure as Chief Conductor, a position he has held since 2017. With the Staatskapelle Weimar - where he made his debut as Chief Conductor in August 2024 - he will conduct works such as songs for voice and orchestra by Dora Pejačević, Gustav Mahler’s Symphony No. 4, and Ferran Cruixent’s </w:t>
      </w:r>
      <w:r w:rsidRPr="007C3B73">
        <w:rPr>
          <w:rStyle w:val="Emphasis"/>
          <w:rFonts w:ascii="Titillium Web" w:hAnsi="Titillium Web"/>
          <w:noProof/>
          <w:sz w:val="22"/>
          <w:szCs w:val="22"/>
          <w:lang w:val="en-GB"/>
        </w:rPr>
        <w:t>Trinity</w:t>
      </w:r>
      <w:r w:rsidRPr="007C3B73">
        <w:rPr>
          <w:rFonts w:ascii="Titillium Web" w:hAnsi="Titillium Web"/>
          <w:noProof/>
          <w:sz w:val="22"/>
          <w:szCs w:val="22"/>
          <w:lang w:val="en-GB"/>
        </w:rPr>
        <w:t xml:space="preserve">, as well as lead a guest performance in Zagreb. At the Deutsche Oper Berlin, he conducts </w:t>
      </w:r>
      <w:r w:rsidRPr="007C3B73">
        <w:rPr>
          <w:rStyle w:val="Emphasis"/>
          <w:rFonts w:ascii="Titillium Web" w:hAnsi="Titillium Web"/>
          <w:noProof/>
          <w:sz w:val="22"/>
          <w:szCs w:val="22"/>
          <w:lang w:val="en-GB"/>
        </w:rPr>
        <w:t>Tosca</w:t>
      </w:r>
      <w:r w:rsidRPr="007C3B73">
        <w:rPr>
          <w:rFonts w:ascii="Titillium Web" w:hAnsi="Titillium Web"/>
          <w:noProof/>
          <w:sz w:val="22"/>
          <w:szCs w:val="22"/>
          <w:lang w:val="en-GB"/>
        </w:rPr>
        <w:t xml:space="preserve"> and </w:t>
      </w:r>
      <w:r w:rsidRPr="007C3B73">
        <w:rPr>
          <w:rStyle w:val="Emphasis"/>
          <w:rFonts w:ascii="Titillium Web" w:hAnsi="Titillium Web"/>
          <w:noProof/>
          <w:sz w:val="22"/>
          <w:szCs w:val="22"/>
          <w:lang w:val="en-GB"/>
        </w:rPr>
        <w:t>La traviata</w:t>
      </w:r>
      <w:r w:rsidRPr="007C3B73">
        <w:rPr>
          <w:rFonts w:ascii="Titillium Web" w:hAnsi="Titillium Web"/>
          <w:noProof/>
          <w:sz w:val="22"/>
          <w:szCs w:val="22"/>
          <w:lang w:val="en-GB"/>
        </w:rPr>
        <w:t>, and he also returns to the podium of the Frankfurt Radio Symphony Orchestra while appearing as a guest conductor with the RTV Slovenia Symphony Orchestra.</w:t>
      </w:r>
    </w:p>
    <w:p w14:paraId="630EEED1" w14:textId="357BF2F9"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Alongside his engagements with his resident orchestras, in the past season he conducted the gala closing concerts of the Dubrovnik Summer Festival (Croatian Radiotelevision Symphony Orchestra, Sonya Yoncheva, Joseph Calleja, Ante Jerkunica) and the opening of the Bavarian State Opera season (Bavarian State Opera Orchestra, Aigul Akhmetshina, Piotr Beczała). He made his debut with the Frankfurt Radio Symphony Orchestra, appeared at the Beethovenfest Bonn, collaborated with the Karajan Academy of the Berlin Philharmonic, and conducted Verdi’s </w:t>
      </w:r>
      <w:r w:rsidRPr="007C3B73">
        <w:rPr>
          <w:rFonts w:ascii="Titillium Web" w:hAnsi="Titillium Web"/>
          <w:i/>
          <w:iCs/>
          <w:noProof/>
          <w:sz w:val="22"/>
          <w:szCs w:val="22"/>
          <w:lang w:val="en-GB"/>
        </w:rPr>
        <w:t>Otello</w:t>
      </w:r>
      <w:r w:rsidRPr="007C3B73">
        <w:rPr>
          <w:rFonts w:ascii="Titillium Web" w:hAnsi="Titillium Web"/>
          <w:noProof/>
          <w:sz w:val="22"/>
          <w:szCs w:val="22"/>
          <w:lang w:val="en-GB"/>
        </w:rPr>
        <w:t xml:space="preserve"> at the Leipzig Opera and </w:t>
      </w:r>
      <w:r w:rsidRPr="007C3B73">
        <w:rPr>
          <w:rFonts w:ascii="Titillium Web" w:hAnsi="Titillium Web"/>
          <w:i/>
          <w:iCs/>
          <w:noProof/>
          <w:sz w:val="22"/>
          <w:szCs w:val="22"/>
          <w:lang w:val="en-GB"/>
        </w:rPr>
        <w:t>Don Carlo</w:t>
      </w:r>
      <w:r w:rsidRPr="007C3B73">
        <w:rPr>
          <w:rFonts w:ascii="Titillium Web" w:hAnsi="Titillium Web"/>
          <w:noProof/>
          <w:sz w:val="22"/>
          <w:szCs w:val="22"/>
          <w:lang w:val="en-GB"/>
        </w:rPr>
        <w:t xml:space="preserve"> at the Bavarian State Opera (stepping in for Maestro Zubin Mehta), as well as Puccini’s </w:t>
      </w:r>
      <w:r w:rsidRPr="007C3B73">
        <w:rPr>
          <w:rFonts w:ascii="Titillium Web" w:hAnsi="Titillium Web"/>
          <w:i/>
          <w:iCs/>
          <w:noProof/>
          <w:sz w:val="22"/>
          <w:szCs w:val="22"/>
          <w:lang w:val="en-GB"/>
        </w:rPr>
        <w:t>Turandot</w:t>
      </w:r>
      <w:r w:rsidRPr="007C3B73">
        <w:rPr>
          <w:rFonts w:ascii="Titillium Web" w:hAnsi="Titillium Web"/>
          <w:noProof/>
          <w:sz w:val="22"/>
          <w:szCs w:val="22"/>
          <w:lang w:val="en-GB"/>
        </w:rPr>
        <w:t xml:space="preserve"> at the Semperoper Dresden.</w:t>
      </w:r>
    </w:p>
    <w:p w14:paraId="680F21FA" w14:textId="5BB427C2"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Within his discography, the album </w:t>
      </w:r>
      <w:r w:rsidRPr="007C3B73">
        <w:rPr>
          <w:rFonts w:ascii="Titillium Web" w:hAnsi="Titillium Web"/>
          <w:i/>
          <w:iCs/>
          <w:noProof/>
          <w:sz w:val="22"/>
          <w:szCs w:val="22"/>
          <w:lang w:val="en-GB"/>
        </w:rPr>
        <w:t>Puccini: I Canti</w:t>
      </w:r>
      <w:r w:rsidRPr="007C3B73">
        <w:rPr>
          <w:rFonts w:ascii="Titillium Web" w:hAnsi="Titillium Web"/>
          <w:noProof/>
          <w:sz w:val="22"/>
          <w:szCs w:val="22"/>
          <w:lang w:val="en-GB"/>
        </w:rPr>
        <w:t xml:space="preserve">, featuring Charles Castronovo and the Munich Radio Orchestra, received the Opus Klassik Award in the category “Solo Recording of the Year,” while Dejan Lazić’s </w:t>
      </w:r>
      <w:r w:rsidRPr="007C3B73">
        <w:rPr>
          <w:rFonts w:ascii="Titillium Web" w:hAnsi="Titillium Web"/>
          <w:i/>
          <w:iCs/>
          <w:noProof/>
          <w:sz w:val="22"/>
          <w:szCs w:val="22"/>
          <w:lang w:val="en-GB"/>
        </w:rPr>
        <w:t>Istrian Rhapsody</w:t>
      </w:r>
      <w:r w:rsidRPr="007C3B73">
        <w:rPr>
          <w:rFonts w:ascii="Titillium Web" w:hAnsi="Titillium Web"/>
          <w:noProof/>
          <w:sz w:val="22"/>
          <w:szCs w:val="22"/>
          <w:lang w:val="en-GB"/>
        </w:rPr>
        <w:t xml:space="preserve">, also with the Munich Radio Orchestra, earned a nomination in the category “Concert Recording of the Year.” As a passionate ambassador of Croatian music, during the past season he also performed and recorded Dora Pejačević’s Symphony with the Staatskapelle Weimar, Frano Parać’s opera </w:t>
      </w:r>
      <w:r w:rsidRPr="007C3B73">
        <w:rPr>
          <w:rFonts w:ascii="Titillium Web" w:hAnsi="Titillium Web"/>
          <w:i/>
          <w:iCs/>
          <w:noProof/>
          <w:sz w:val="22"/>
          <w:szCs w:val="22"/>
          <w:lang w:val="en-GB"/>
        </w:rPr>
        <w:t>Judita</w:t>
      </w:r>
      <w:r w:rsidRPr="007C3B73">
        <w:rPr>
          <w:rFonts w:ascii="Titillium Web" w:hAnsi="Titillium Web"/>
          <w:noProof/>
          <w:sz w:val="22"/>
          <w:szCs w:val="22"/>
          <w:lang w:val="en-GB"/>
        </w:rPr>
        <w:t xml:space="preserve"> with the Munich Radio Orchestra and the Croatian Radiotelevision Choir, and Boris Papandopulo’s </w:t>
      </w:r>
      <w:r w:rsidRPr="007C3B73">
        <w:rPr>
          <w:rFonts w:ascii="Titillium Web" w:hAnsi="Titillium Web"/>
          <w:i/>
          <w:iCs/>
          <w:noProof/>
          <w:sz w:val="22"/>
          <w:szCs w:val="22"/>
          <w:lang w:val="en-GB"/>
        </w:rPr>
        <w:t>Croatian Mass</w:t>
      </w:r>
      <w:r w:rsidRPr="007C3B73">
        <w:rPr>
          <w:rFonts w:ascii="Titillium Web" w:hAnsi="Titillium Web"/>
          <w:noProof/>
          <w:sz w:val="22"/>
          <w:szCs w:val="22"/>
          <w:lang w:val="en-GB"/>
        </w:rPr>
        <w:t xml:space="preserve"> with Croatian soloists and the Bavarian Radio Choir.</w:t>
      </w:r>
    </w:p>
    <w:p w14:paraId="73265714" w14:textId="3C0C00DB"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Maestro Repušić began his professional career within German cultural institutions as First Conductor of the State Opera in Hannover (2010–2013), where he later served as Music Director from 2016 to 2019. During this period, he conducted numerous operatic premieres - including </w:t>
      </w:r>
      <w:r w:rsidRPr="007C3B73">
        <w:rPr>
          <w:rFonts w:ascii="Titillium Web" w:hAnsi="Titillium Web"/>
          <w:i/>
          <w:iCs/>
          <w:noProof/>
          <w:sz w:val="22"/>
          <w:szCs w:val="22"/>
          <w:lang w:val="en-GB"/>
        </w:rPr>
        <w:t>Salome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damnation de Faust</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The Flying Dutchman</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Manon Lescaut</w:t>
      </w:r>
      <w:r w:rsidRPr="007C3B73">
        <w:rPr>
          <w:rFonts w:ascii="Titillium Web" w:hAnsi="Titillium Web"/>
          <w:noProof/>
          <w:sz w:val="22"/>
          <w:szCs w:val="22"/>
          <w:lang w:val="en-GB"/>
        </w:rPr>
        <w:t xml:space="preserve">, and </w:t>
      </w:r>
      <w:r w:rsidRPr="007C3B73">
        <w:rPr>
          <w:rFonts w:ascii="Titillium Web" w:hAnsi="Titillium Web"/>
          <w:i/>
          <w:iCs/>
          <w:noProof/>
          <w:sz w:val="22"/>
          <w:szCs w:val="22"/>
          <w:lang w:val="en-GB"/>
        </w:rPr>
        <w:t>Aida</w:t>
      </w:r>
      <w:r w:rsidRPr="007C3B73">
        <w:rPr>
          <w:rFonts w:ascii="Titillium Web" w:hAnsi="Titillium Web"/>
          <w:noProof/>
          <w:sz w:val="22"/>
          <w:szCs w:val="22"/>
          <w:lang w:val="en-GB"/>
        </w:rPr>
        <w:t xml:space="preserve"> - as well as symphonic concerts. Following his debut at the Deutsche Oper Berlin in a production of Puccini’s </w:t>
      </w:r>
      <w:r w:rsidRPr="007C3B73">
        <w:rPr>
          <w:rFonts w:ascii="Titillium Web" w:hAnsi="Titillium Web"/>
          <w:i/>
          <w:iCs/>
          <w:noProof/>
          <w:sz w:val="22"/>
          <w:szCs w:val="22"/>
          <w:lang w:val="en-GB"/>
        </w:rPr>
        <w:t>La bohème</w:t>
      </w:r>
      <w:r w:rsidRPr="007C3B73">
        <w:rPr>
          <w:rFonts w:ascii="Titillium Web" w:hAnsi="Titillium Web"/>
          <w:noProof/>
          <w:sz w:val="22"/>
          <w:szCs w:val="22"/>
          <w:lang w:val="en-GB"/>
        </w:rPr>
        <w:t xml:space="preserve"> (2011), he was appointed conductor of that opera house from the 2012/2013 season and since 2014 has served as its first permanent guest conductor. To date, he has led a wide range of acclaimed operatic performances, including </w:t>
      </w:r>
      <w:r w:rsidRPr="007C3B73">
        <w:rPr>
          <w:rFonts w:ascii="Titillium Web" w:hAnsi="Titillium Web"/>
          <w:i/>
          <w:iCs/>
          <w:noProof/>
          <w:sz w:val="22"/>
          <w:szCs w:val="22"/>
          <w:lang w:val="en-GB"/>
        </w:rPr>
        <w:t>Macbeth</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Tosca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Turandot</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bohème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Eugene Onegin</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Nabucco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Un ballo in maschera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traviata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Carmen</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The Magic Flute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Lucia di Lammermoor</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Tannhäuser</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Gioconda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Falstaff</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Don Carlo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Francesca da Rimini</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 xml:space="preserve">The Flying </w:t>
      </w:r>
      <w:r w:rsidRPr="007C3B73">
        <w:rPr>
          <w:rFonts w:ascii="Titillium Web" w:hAnsi="Titillium Web"/>
          <w:i/>
          <w:iCs/>
          <w:noProof/>
          <w:sz w:val="22"/>
          <w:szCs w:val="22"/>
          <w:lang w:val="en-GB"/>
        </w:rPr>
        <w:lastRenderedPageBreak/>
        <w:t>Dutchman</w:t>
      </w:r>
      <w:r w:rsidRPr="007C3B73">
        <w:rPr>
          <w:rFonts w:ascii="Titillium Web" w:hAnsi="Titillium Web"/>
          <w:noProof/>
          <w:sz w:val="22"/>
          <w:szCs w:val="22"/>
          <w:lang w:val="en-GB"/>
        </w:rPr>
        <w:t xml:space="preserve">, among many others. As Chief Conductor of the Munich Radio Orchestra since 2017, he has conducted numerous concert performances of operas - including </w:t>
      </w:r>
      <w:r w:rsidRPr="007C3B73">
        <w:rPr>
          <w:rFonts w:ascii="Titillium Web" w:hAnsi="Titillium Web"/>
          <w:i/>
          <w:iCs/>
          <w:noProof/>
          <w:sz w:val="22"/>
          <w:szCs w:val="22"/>
          <w:lang w:val="en-GB"/>
        </w:rPr>
        <w:t>Luisa Miller</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I due Foscari</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Attila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I Lombardi alla prima crociata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rondine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Ero the Joker</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Ernani</w:t>
      </w:r>
      <w:r w:rsidRPr="007C3B73">
        <w:rPr>
          <w:rFonts w:ascii="Titillium Web" w:hAnsi="Titillium Web"/>
          <w:noProof/>
          <w:sz w:val="22"/>
          <w:szCs w:val="22"/>
          <w:lang w:val="en-GB"/>
        </w:rPr>
        <w:t>, among others - as well as a broad repertoire of orchestral works.</w:t>
      </w:r>
    </w:p>
    <w:p w14:paraId="7131B2EC" w14:textId="2A557AC9"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In collaboration with leading international soloists, the Munich Radio Orchestra, and the Bavarian Radio Choir, he has recorded more than twenty releases for major European labels, including BR-Klassik, Warner Classics, cpo, and Pentatone. These recordings include works by Croatian composers such as Jakov Gotovac, Igor Kuljerić, Dejan Lazić, Natko Devčić, Ivan Matetić Ronjgov, Frano Parać, and Boris Papandopulo. Many of these releases have received prestigious awards, including the International Classical Music Awards (ICMA), Opus Klassik, Diapason d’Or, and Porin. Among his most recent recordings are </w:t>
      </w:r>
      <w:r w:rsidRPr="007C3B73">
        <w:rPr>
          <w:rFonts w:ascii="Titillium Web" w:hAnsi="Titillium Web"/>
          <w:i/>
          <w:iCs/>
          <w:noProof/>
          <w:sz w:val="22"/>
          <w:szCs w:val="22"/>
          <w:lang w:val="en-GB"/>
        </w:rPr>
        <w:t>Giacomo Puccini: Messa di Gloria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Verdi: Complete Ballet Music</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Puccini: Le Villi</w:t>
      </w:r>
      <w:r w:rsidRPr="007C3B73">
        <w:rPr>
          <w:rFonts w:ascii="Titillium Web" w:hAnsi="Titillium Web"/>
          <w:noProof/>
          <w:sz w:val="22"/>
          <w:szCs w:val="22"/>
          <w:lang w:val="en-GB"/>
        </w:rPr>
        <w:t xml:space="preserve"> (BR-Klassik), and the album </w:t>
      </w:r>
      <w:r w:rsidRPr="007C3B73">
        <w:rPr>
          <w:rFonts w:ascii="Titillium Web" w:hAnsi="Titillium Web"/>
          <w:i/>
          <w:iCs/>
          <w:noProof/>
          <w:sz w:val="22"/>
          <w:szCs w:val="22"/>
          <w:lang w:val="en-GB"/>
        </w:rPr>
        <w:t>Golden Age</w:t>
      </w:r>
      <w:r w:rsidRPr="007C3B73">
        <w:rPr>
          <w:rFonts w:ascii="Titillium Web" w:hAnsi="Titillium Web"/>
          <w:noProof/>
          <w:sz w:val="22"/>
          <w:szCs w:val="22"/>
          <w:lang w:val="en-GB"/>
        </w:rPr>
        <w:t xml:space="preserve"> (Pentatone), featuring soloists Erin Morley and Lawrence Brownlee with the Munich Radio Orchestra. </w:t>
      </w:r>
      <w:r w:rsidRPr="007C3B73">
        <w:rPr>
          <w:rFonts w:ascii="Titillium Web" w:hAnsi="Titillium Web"/>
          <w:i/>
          <w:iCs/>
          <w:noProof/>
          <w:sz w:val="22"/>
          <w:szCs w:val="22"/>
          <w:lang w:val="en-GB"/>
        </w:rPr>
        <w:t>Golden Age</w:t>
      </w:r>
      <w:r w:rsidRPr="007C3B73">
        <w:rPr>
          <w:rFonts w:ascii="Titillium Web" w:hAnsi="Titillium Web"/>
          <w:noProof/>
          <w:sz w:val="22"/>
          <w:szCs w:val="22"/>
          <w:lang w:val="en-GB"/>
        </w:rPr>
        <w:t xml:space="preserve"> was selected by </w:t>
      </w:r>
      <w:r w:rsidRPr="007C3B73">
        <w:rPr>
          <w:rFonts w:ascii="Titillium Web" w:hAnsi="Titillium Web"/>
          <w:i/>
          <w:iCs/>
          <w:noProof/>
          <w:sz w:val="22"/>
          <w:szCs w:val="22"/>
          <w:lang w:val="en-GB"/>
        </w:rPr>
        <w:t>The New York Times</w:t>
      </w:r>
      <w:r w:rsidRPr="007C3B73">
        <w:rPr>
          <w:rFonts w:ascii="Titillium Web" w:hAnsi="Titillium Web"/>
          <w:noProof/>
          <w:sz w:val="22"/>
          <w:szCs w:val="22"/>
          <w:lang w:val="en-GB"/>
        </w:rPr>
        <w:t xml:space="preserve"> and </w:t>
      </w:r>
      <w:r w:rsidRPr="007C3B73">
        <w:rPr>
          <w:rFonts w:ascii="Titillium Web" w:hAnsi="Titillium Web"/>
          <w:i/>
          <w:iCs/>
          <w:noProof/>
          <w:sz w:val="22"/>
          <w:szCs w:val="22"/>
          <w:lang w:val="en-GB"/>
        </w:rPr>
        <w:t>BBC Music Magazine</w:t>
      </w:r>
      <w:r w:rsidRPr="007C3B73">
        <w:rPr>
          <w:rFonts w:ascii="Titillium Web" w:hAnsi="Titillium Web"/>
          <w:noProof/>
          <w:sz w:val="22"/>
          <w:szCs w:val="22"/>
          <w:lang w:val="en-GB"/>
        </w:rPr>
        <w:t xml:space="preserve"> as one of the best classical music albums of 2025. The album </w:t>
      </w:r>
      <w:r w:rsidRPr="007C3B73">
        <w:rPr>
          <w:rFonts w:ascii="Titillium Web" w:hAnsi="Titillium Web"/>
          <w:i/>
          <w:iCs/>
          <w:noProof/>
          <w:sz w:val="22"/>
          <w:szCs w:val="22"/>
          <w:lang w:val="en-GB"/>
        </w:rPr>
        <w:t>Odrazi moderne</w:t>
      </w:r>
      <w:r w:rsidRPr="007C3B73">
        <w:rPr>
          <w:rFonts w:ascii="Titillium Web" w:hAnsi="Titillium Web"/>
          <w:noProof/>
          <w:sz w:val="22"/>
          <w:szCs w:val="22"/>
          <w:lang w:val="en-GB"/>
        </w:rPr>
        <w:t xml:space="preserve"> (Cantus/HRT), recorded with the Croatian Radiotelevision Symphony Orchestra, received three Porin Awards (Best Album, Best Performance, and Best Recording).</w:t>
      </w:r>
    </w:p>
    <w:p w14:paraId="072D7D74" w14:textId="1376AAB3"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He has conducted numerous leading orchestras across Europe and beyond, including the Deutsche Oper Berlin Orchestra, Berlin Radio Symphony Orchestra, Frankfurt Radio Symphony Orchestra, Bavarian State Orchestra, NDR Elbphilharmonie Orchestra (North German Radio, Hamburg), Vienna Symphony Orchestra, Orchestra Sinfonica Giuseppe Verdi in Milan, Mannheim National Theatre Orchestra, Prague Symphony Orchestra, Norwegian National Opera Orchestra in Oslo, Brussels Philharmonic, Tokyo Philharmonic, Slovenian, Pannonian, and Zagreb Philharmonics, and the Croatian Radiotelevision Symphony Orchestra, among others. He is a regular guest at major European festivals and concert halls, including the Berlin Philharmonie, Vienna Musikverein, Berlin Konzerthaus, Festspielhaus Baden-Baden, Munich Gasteig, Herkulessaal and Prinzregententheater, Prague Smetana Hall, Lucerne Kultur- und Kongresszentrum, the Verdi Festival in Parma, Beethovenfest Bonn, and many others. Maestro Repušić frequently appears at renowned opera houses, including the Bavarian State Opera (</w:t>
      </w:r>
      <w:r w:rsidRPr="007C3B73">
        <w:rPr>
          <w:rFonts w:ascii="Titillium Web" w:hAnsi="Titillium Web"/>
          <w:i/>
          <w:iCs/>
          <w:noProof/>
          <w:sz w:val="22"/>
          <w:szCs w:val="22"/>
          <w:lang w:val="en-GB"/>
        </w:rPr>
        <w:t>Un ballo in maschera</w:t>
      </w:r>
      <w:r w:rsidRPr="007C3B73">
        <w:rPr>
          <w:rFonts w:ascii="Titillium Web" w:hAnsi="Titillium Web"/>
          <w:noProof/>
          <w:sz w:val="22"/>
          <w:szCs w:val="22"/>
          <w:lang w:val="en-GB"/>
        </w:rPr>
        <w:t>), Deutsche Oper Berlin (</w:t>
      </w:r>
      <w:r w:rsidRPr="007C3B73">
        <w:rPr>
          <w:rFonts w:ascii="Titillium Web" w:hAnsi="Titillium Web"/>
          <w:i/>
          <w:iCs/>
          <w:noProof/>
          <w:sz w:val="22"/>
          <w:szCs w:val="22"/>
          <w:lang w:val="en-GB"/>
        </w:rPr>
        <w:t>Rigoletto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Tosca</w:t>
      </w:r>
      <w:r w:rsidRPr="007C3B73">
        <w:rPr>
          <w:rFonts w:ascii="Titillium Web" w:hAnsi="Titillium Web"/>
          <w:noProof/>
          <w:sz w:val="22"/>
          <w:szCs w:val="22"/>
          <w:lang w:val="en-GB"/>
        </w:rPr>
        <w:t>), Semperoper Dresden (</w:t>
      </w:r>
      <w:r w:rsidRPr="007C3B73">
        <w:rPr>
          <w:rFonts w:ascii="Titillium Web" w:hAnsi="Titillium Web"/>
          <w:i/>
          <w:iCs/>
          <w:noProof/>
          <w:sz w:val="22"/>
          <w:szCs w:val="22"/>
          <w:lang w:val="en-GB"/>
        </w:rPr>
        <w:t>The Magic Flute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traviata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Simon Boccanegra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Macbeth</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Tosca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Don Carlo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Madama Butterfly</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Turandot</w:t>
      </w:r>
      <w:r w:rsidRPr="007C3B73">
        <w:rPr>
          <w:rFonts w:ascii="Titillium Web" w:hAnsi="Titillium Web"/>
          <w:noProof/>
          <w:sz w:val="22"/>
          <w:szCs w:val="22"/>
          <w:lang w:val="en-GB"/>
        </w:rPr>
        <w:t>), Hamburg State Opera (</w:t>
      </w:r>
      <w:r w:rsidRPr="007C3B73">
        <w:rPr>
          <w:rFonts w:ascii="Titillium Web" w:hAnsi="Titillium Web"/>
          <w:i/>
          <w:iCs/>
          <w:noProof/>
          <w:sz w:val="22"/>
          <w:szCs w:val="22"/>
          <w:lang w:val="en-GB"/>
        </w:rPr>
        <w:t>L’elisir d’amore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Rigoletto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bohème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Tosca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Simon Boccanegra</w:t>
      </w:r>
      <w:r w:rsidRPr="007C3B73">
        <w:rPr>
          <w:rFonts w:ascii="Titillium Web" w:hAnsi="Titillium Web"/>
          <w:noProof/>
          <w:sz w:val="22"/>
          <w:szCs w:val="22"/>
          <w:lang w:val="en-GB"/>
        </w:rPr>
        <w:t>), Leipzig Opera (</w:t>
      </w:r>
      <w:r w:rsidRPr="007C3B73">
        <w:rPr>
          <w:rFonts w:ascii="Titillium Web" w:hAnsi="Titillium Web"/>
          <w:i/>
          <w:iCs/>
          <w:noProof/>
          <w:sz w:val="22"/>
          <w:szCs w:val="22"/>
          <w:lang w:val="en-GB"/>
        </w:rPr>
        <w:t>Madama Butterfly</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The Magic Flute</w:t>
      </w:r>
      <w:r w:rsidRPr="007C3B73">
        <w:rPr>
          <w:rFonts w:ascii="Titillium Web" w:hAnsi="Titillium Web"/>
          <w:noProof/>
          <w:sz w:val="22"/>
          <w:szCs w:val="22"/>
          <w:lang w:val="en-GB"/>
        </w:rPr>
        <w:t>), Komische Oper Berlin (</w:t>
      </w:r>
      <w:r w:rsidRPr="007C3B73">
        <w:rPr>
          <w:rFonts w:ascii="Titillium Web" w:hAnsi="Titillium Web"/>
          <w:i/>
          <w:iCs/>
          <w:noProof/>
          <w:sz w:val="22"/>
          <w:szCs w:val="22"/>
          <w:lang w:val="en-GB"/>
        </w:rPr>
        <w:t>Rigoletto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traviata</w:t>
      </w:r>
      <w:r w:rsidRPr="007C3B73">
        <w:rPr>
          <w:rFonts w:ascii="Titillium Web" w:hAnsi="Titillium Web"/>
          <w:noProof/>
          <w:sz w:val="22"/>
          <w:szCs w:val="22"/>
          <w:lang w:val="en-GB"/>
        </w:rPr>
        <w:t>), Aalto Musiktheater Essen (</w:t>
      </w:r>
      <w:r w:rsidRPr="007C3B73">
        <w:rPr>
          <w:rFonts w:ascii="Titillium Web" w:hAnsi="Titillium Web"/>
          <w:i/>
          <w:iCs/>
          <w:noProof/>
          <w:sz w:val="22"/>
          <w:szCs w:val="22"/>
          <w:lang w:val="en-GB"/>
        </w:rPr>
        <w:t>Falstaff</w:t>
      </w:r>
      <w:r w:rsidRPr="007C3B73">
        <w:rPr>
          <w:rFonts w:ascii="Titillium Web" w:hAnsi="Titillium Web"/>
          <w:noProof/>
          <w:sz w:val="22"/>
          <w:szCs w:val="22"/>
          <w:lang w:val="en-GB"/>
        </w:rPr>
        <w:t>), and Opernhaus Zürich (</w:t>
      </w:r>
      <w:r w:rsidRPr="007C3B73">
        <w:rPr>
          <w:rFonts w:ascii="Titillium Web" w:hAnsi="Titillium Web"/>
          <w:i/>
          <w:iCs/>
          <w:noProof/>
          <w:sz w:val="22"/>
          <w:szCs w:val="22"/>
          <w:lang w:val="en-GB"/>
        </w:rPr>
        <w:t>I Vespri Siciliani</w:t>
      </w:r>
      <w:r w:rsidRPr="007C3B73">
        <w:rPr>
          <w:rFonts w:ascii="Titillium Web" w:hAnsi="Titillium Web"/>
          <w:noProof/>
          <w:sz w:val="22"/>
          <w:szCs w:val="22"/>
          <w:lang w:val="en-GB"/>
        </w:rPr>
        <w:t>), among others. He is also a welcomed guest on prestigious stages outside Europe, including the New National Theatre in Tokyo (</w:t>
      </w:r>
      <w:r w:rsidRPr="007C3B73">
        <w:rPr>
          <w:rFonts w:ascii="Titillium Web" w:hAnsi="Titillium Web"/>
          <w:i/>
          <w:iCs/>
          <w:noProof/>
          <w:sz w:val="22"/>
          <w:szCs w:val="22"/>
          <w:lang w:val="en-GB"/>
        </w:rPr>
        <w:t>La traviata</w:t>
      </w:r>
      <w:r w:rsidRPr="007C3B73">
        <w:rPr>
          <w:rFonts w:ascii="Titillium Web" w:hAnsi="Titillium Web"/>
          <w:noProof/>
          <w:sz w:val="22"/>
          <w:szCs w:val="22"/>
          <w:lang w:val="en-GB"/>
        </w:rPr>
        <w:t>).</w:t>
      </w:r>
    </w:p>
    <w:p w14:paraId="684CD844" w14:textId="04C6C197" w:rsidR="00B752EC" w:rsidRPr="007C3B73" w:rsidRDefault="00B752EC" w:rsidP="00EE616E">
      <w:pPr>
        <w:pStyle w:val="NormalWeb"/>
        <w:spacing w:before="0" w:beforeAutospacing="0" w:after="120" w:line="300" w:lineRule="exact"/>
        <w:jc w:val="both"/>
        <w:rPr>
          <w:rFonts w:ascii="Titillium Web" w:hAnsi="Titillium Web"/>
          <w:noProof/>
          <w:sz w:val="22"/>
          <w:szCs w:val="22"/>
          <w:lang w:val="en-GB"/>
        </w:rPr>
      </w:pPr>
      <w:r w:rsidRPr="007C3B73">
        <w:rPr>
          <w:rFonts w:ascii="Titillium Web" w:hAnsi="Titillium Web"/>
          <w:noProof/>
          <w:sz w:val="22"/>
          <w:szCs w:val="22"/>
          <w:lang w:val="en-GB"/>
        </w:rPr>
        <w:t xml:space="preserve">Ivan Repušić received his early and secondary musical education in Zadar, Croatia, where he also gained his first conducting experience. He studied conducting at the Zagreb Academy of Music under Igor Gjadrov and Vjekoslav Šutej and further developed his skills with Jorma Panula, Gianluigi Gelmetti, Kazushi Ono, and Donald Runnicles. He began his professional career at the Croatian National Theatre in Split (2002), where he served as Chief Conductor and Director of the Opera (2006–2009). During this period, he conducted numerous performances spanning Italian, French, Russian, and Croatian operatic repertoire, including Verdi’s </w:t>
      </w:r>
      <w:r w:rsidRPr="007C3B73">
        <w:rPr>
          <w:rFonts w:ascii="Titillium Web" w:hAnsi="Titillium Web"/>
          <w:i/>
          <w:iCs/>
          <w:noProof/>
          <w:sz w:val="22"/>
          <w:szCs w:val="22"/>
          <w:lang w:val="en-GB"/>
        </w:rPr>
        <w:t>Don Carlo</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Aida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Simon Boccanegra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Il trovatore</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Nabucco</w:t>
      </w:r>
      <w:r w:rsidRPr="007C3B73">
        <w:rPr>
          <w:rFonts w:ascii="Titillium Web" w:hAnsi="Titillium Web"/>
          <w:noProof/>
          <w:sz w:val="22"/>
          <w:szCs w:val="22"/>
          <w:lang w:val="en-GB"/>
        </w:rPr>
        <w:t xml:space="preserve">; Puccini’s </w:t>
      </w:r>
      <w:r w:rsidRPr="007C3B73">
        <w:rPr>
          <w:rFonts w:ascii="Titillium Web" w:hAnsi="Titillium Web"/>
          <w:i/>
          <w:iCs/>
          <w:noProof/>
          <w:sz w:val="22"/>
          <w:szCs w:val="22"/>
          <w:lang w:val="en-GB"/>
        </w:rPr>
        <w:t xml:space="preserve">Suor </w:t>
      </w:r>
      <w:r w:rsidRPr="007C3B73">
        <w:rPr>
          <w:rFonts w:ascii="Titillium Web" w:hAnsi="Titillium Web"/>
          <w:i/>
          <w:iCs/>
          <w:noProof/>
          <w:sz w:val="22"/>
          <w:szCs w:val="22"/>
          <w:lang w:val="en-GB"/>
        </w:rPr>
        <w:lastRenderedPageBreak/>
        <w:t>Angelica</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Gianni Schicchi</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Manon Lescaut</w:t>
      </w:r>
      <w:r w:rsidRPr="007C3B73">
        <w:rPr>
          <w:rFonts w:ascii="Titillium Web" w:hAnsi="Titillium Web"/>
          <w:noProof/>
          <w:sz w:val="22"/>
          <w:szCs w:val="22"/>
          <w:lang w:val="en-GB"/>
        </w:rPr>
        <w:t xml:space="preserve">, </w:t>
      </w:r>
      <w:r w:rsidRPr="007C3B73">
        <w:rPr>
          <w:rFonts w:ascii="Titillium Web" w:hAnsi="Titillium Web"/>
          <w:i/>
          <w:iCs/>
          <w:noProof/>
          <w:sz w:val="22"/>
          <w:szCs w:val="22"/>
          <w:lang w:val="en-GB"/>
        </w:rPr>
        <w:t>La bohème</w:t>
      </w:r>
      <w:r w:rsidRPr="007C3B73">
        <w:rPr>
          <w:rFonts w:ascii="Titillium Web" w:hAnsi="Titillium Web"/>
          <w:noProof/>
          <w:sz w:val="22"/>
          <w:szCs w:val="22"/>
          <w:lang w:val="en-GB"/>
        </w:rPr>
        <w:t xml:space="preserve">; Tchaikovsky’s </w:t>
      </w:r>
      <w:r w:rsidRPr="007C3B73">
        <w:rPr>
          <w:rFonts w:ascii="Titillium Web" w:hAnsi="Titillium Web"/>
          <w:i/>
          <w:iCs/>
          <w:noProof/>
          <w:sz w:val="22"/>
          <w:szCs w:val="22"/>
          <w:lang w:val="en-GB"/>
        </w:rPr>
        <w:t>Eugene Onegin</w:t>
      </w:r>
      <w:r w:rsidRPr="007C3B73">
        <w:rPr>
          <w:rFonts w:ascii="Titillium Web" w:hAnsi="Titillium Web"/>
          <w:noProof/>
          <w:sz w:val="22"/>
          <w:szCs w:val="22"/>
          <w:lang w:val="en-GB"/>
        </w:rPr>
        <w:t xml:space="preserve">; Gounod’s </w:t>
      </w:r>
      <w:r w:rsidRPr="007C3B73">
        <w:rPr>
          <w:rFonts w:ascii="Titillium Web" w:hAnsi="Titillium Web"/>
          <w:i/>
          <w:iCs/>
          <w:noProof/>
          <w:sz w:val="22"/>
          <w:szCs w:val="22"/>
          <w:lang w:val="en-GB"/>
        </w:rPr>
        <w:t>Faust</w:t>
      </w:r>
      <w:r w:rsidRPr="007C3B73">
        <w:rPr>
          <w:rFonts w:ascii="Titillium Web" w:hAnsi="Titillium Web"/>
          <w:noProof/>
          <w:sz w:val="22"/>
          <w:szCs w:val="22"/>
          <w:lang w:val="en-GB"/>
        </w:rPr>
        <w:t xml:space="preserve">; Donizetti’s </w:t>
      </w:r>
      <w:r w:rsidRPr="007C3B73">
        <w:rPr>
          <w:rFonts w:ascii="Titillium Web" w:hAnsi="Titillium Web"/>
          <w:i/>
          <w:iCs/>
          <w:noProof/>
          <w:sz w:val="22"/>
          <w:szCs w:val="22"/>
          <w:lang w:val="en-GB"/>
        </w:rPr>
        <w:t>Lucia di Lammermoor</w:t>
      </w:r>
      <w:r w:rsidRPr="007C3B73">
        <w:rPr>
          <w:rFonts w:ascii="Titillium Web" w:hAnsi="Titillium Web"/>
          <w:noProof/>
          <w:sz w:val="22"/>
          <w:szCs w:val="22"/>
          <w:lang w:val="en-GB"/>
        </w:rPr>
        <w:t xml:space="preserve"> and </w:t>
      </w:r>
      <w:r w:rsidRPr="007C3B73">
        <w:rPr>
          <w:rFonts w:ascii="Titillium Web" w:hAnsi="Titillium Web"/>
          <w:i/>
          <w:iCs/>
          <w:noProof/>
          <w:sz w:val="22"/>
          <w:szCs w:val="22"/>
          <w:lang w:val="en-GB"/>
        </w:rPr>
        <w:t>L’elisir d’amore</w:t>
      </w:r>
      <w:r w:rsidRPr="007C3B73">
        <w:rPr>
          <w:rFonts w:ascii="Titillium Web" w:hAnsi="Titillium Web"/>
          <w:noProof/>
          <w:sz w:val="22"/>
          <w:szCs w:val="22"/>
          <w:lang w:val="en-GB"/>
        </w:rPr>
        <w:t xml:space="preserve">; Rossini’s </w:t>
      </w:r>
      <w:r w:rsidRPr="007C3B73">
        <w:rPr>
          <w:rFonts w:ascii="Titillium Web" w:hAnsi="Titillium Web"/>
          <w:i/>
          <w:iCs/>
          <w:noProof/>
          <w:sz w:val="22"/>
          <w:szCs w:val="22"/>
          <w:lang w:val="en-GB"/>
        </w:rPr>
        <w:t>Il barbiere di Siviglia</w:t>
      </w:r>
      <w:r w:rsidRPr="007C3B73">
        <w:rPr>
          <w:rFonts w:ascii="Titillium Web" w:hAnsi="Titillium Web"/>
          <w:noProof/>
          <w:sz w:val="22"/>
          <w:szCs w:val="22"/>
          <w:lang w:val="en-GB"/>
        </w:rPr>
        <w:t xml:space="preserve">; Leoncavallo’s </w:t>
      </w:r>
      <w:r w:rsidRPr="007C3B73">
        <w:rPr>
          <w:rFonts w:ascii="Titillium Web" w:hAnsi="Titillium Web"/>
          <w:i/>
          <w:iCs/>
          <w:noProof/>
          <w:sz w:val="22"/>
          <w:szCs w:val="22"/>
          <w:lang w:val="en-GB"/>
        </w:rPr>
        <w:t>I Pagliacci</w:t>
      </w:r>
      <w:r w:rsidRPr="007C3B73">
        <w:rPr>
          <w:rFonts w:ascii="Titillium Web" w:hAnsi="Titillium Web"/>
          <w:noProof/>
          <w:sz w:val="22"/>
          <w:szCs w:val="22"/>
          <w:lang w:val="en-GB"/>
        </w:rPr>
        <w:t xml:space="preserve">; Jakov Gotovac’s </w:t>
      </w:r>
      <w:r w:rsidRPr="007C3B73">
        <w:rPr>
          <w:rFonts w:ascii="Titillium Web" w:hAnsi="Titillium Web"/>
          <w:i/>
          <w:iCs/>
          <w:noProof/>
          <w:sz w:val="22"/>
          <w:szCs w:val="22"/>
          <w:lang w:val="en-GB"/>
        </w:rPr>
        <w:t>Ero the Joker</w:t>
      </w:r>
      <w:r w:rsidRPr="007C3B73">
        <w:rPr>
          <w:rFonts w:ascii="Titillium Web" w:hAnsi="Titillium Web"/>
          <w:noProof/>
          <w:sz w:val="22"/>
          <w:szCs w:val="22"/>
          <w:lang w:val="en-GB"/>
        </w:rPr>
        <w:t xml:space="preserve">; Josip Hatze’s </w:t>
      </w:r>
      <w:r w:rsidRPr="007C3B73">
        <w:rPr>
          <w:rFonts w:ascii="Titillium Web" w:hAnsi="Titillium Web"/>
          <w:i/>
          <w:iCs/>
          <w:noProof/>
          <w:sz w:val="22"/>
          <w:szCs w:val="22"/>
          <w:lang w:val="en-GB"/>
        </w:rPr>
        <w:t>The Return</w:t>
      </w:r>
      <w:r w:rsidRPr="007C3B73">
        <w:rPr>
          <w:rFonts w:ascii="Titillium Web" w:hAnsi="Titillium Web"/>
          <w:noProof/>
          <w:sz w:val="22"/>
          <w:szCs w:val="22"/>
          <w:lang w:val="en-GB"/>
        </w:rPr>
        <w:t>, among others. He also served as Music Director of the Split Summer Festival (2006–2009) and the Dubrovnik Summer Festival (2010–2012). Alongside his conducting career, he was dedicated to teaching at the Academy of Arts, University of Split (2004–2016), where he earned the title of Associate Professor. Since 2005, he has been Chief Conductor of the Zadar Chamber Orchestra.</w:t>
      </w:r>
    </w:p>
    <w:p w14:paraId="3E5F96DD" w14:textId="7D759169" w:rsidR="00961CA9" w:rsidRDefault="00961CA9" w:rsidP="00EE616E">
      <w:pPr>
        <w:pStyle w:val="NormalWeb"/>
        <w:spacing w:before="0" w:beforeAutospacing="0" w:after="120" w:line="300" w:lineRule="exact"/>
        <w:jc w:val="both"/>
        <w:rPr>
          <w:rFonts w:ascii="Titillium Web" w:hAnsi="Titillium Web"/>
          <w:noProof/>
          <w:sz w:val="22"/>
          <w:szCs w:val="22"/>
          <w:lang w:val="en-GB"/>
        </w:rPr>
      </w:pPr>
      <w:r>
        <w:rPr>
          <w:rFonts w:ascii="Titillium Web" w:hAnsi="Titillium Web"/>
          <w:noProof/>
        </w:rPr>
        <w:drawing>
          <wp:anchor distT="0" distB="0" distL="114300" distR="114300" simplePos="0" relativeHeight="251659264" behindDoc="0" locked="0" layoutInCell="1" allowOverlap="1" wp14:anchorId="3141BA73" wp14:editId="692FE700">
            <wp:simplePos x="0" y="0"/>
            <wp:positionH relativeFrom="column">
              <wp:posOffset>-900430</wp:posOffset>
            </wp:positionH>
            <wp:positionV relativeFrom="paragraph">
              <wp:posOffset>1328733</wp:posOffset>
            </wp:positionV>
            <wp:extent cx="7559040" cy="1294765"/>
            <wp:effectExtent l="0" t="0" r="3810" b="635"/>
            <wp:wrapSquare wrapText="bothSides"/>
            <wp:docPr id="4987627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762795"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9040" cy="1294765"/>
                    </a:xfrm>
                    <a:prstGeom prst="rect">
                      <a:avLst/>
                    </a:prstGeom>
                  </pic:spPr>
                </pic:pic>
              </a:graphicData>
            </a:graphic>
            <wp14:sizeRelH relativeFrom="page">
              <wp14:pctWidth>0</wp14:pctWidth>
            </wp14:sizeRelH>
            <wp14:sizeRelV relativeFrom="page">
              <wp14:pctHeight>0</wp14:pctHeight>
            </wp14:sizeRelV>
          </wp:anchor>
        </w:drawing>
      </w:r>
      <w:r w:rsidR="00B752EC" w:rsidRPr="007C3B73">
        <w:rPr>
          <w:rFonts w:ascii="Titillium Web" w:hAnsi="Titillium Web"/>
          <w:noProof/>
          <w:sz w:val="22"/>
          <w:szCs w:val="22"/>
          <w:lang w:val="en-GB"/>
        </w:rPr>
        <w:t xml:space="preserve">For his artistic achievements, he has received numerous prestigious Croatian awards, including the Vladimir Nazor Award, Vatroslav Lisinski Award, Milka Trnina Award, Orlando Award, and the City of Zadar Award. The University of Zadar awarded him an honorary doctorate in recognition of his extraordinary contributions in the fields of culture and art (2021). In October 2024, the President of the Republic of Croatia decorated him with the </w:t>
      </w:r>
      <w:r w:rsidR="00B752EC" w:rsidRPr="007C3B73">
        <w:rPr>
          <w:rFonts w:ascii="Titillium Web" w:hAnsi="Titillium Web"/>
          <w:noProof/>
          <w:color w:val="000000"/>
          <w:sz w:val="22"/>
          <w:szCs w:val="22"/>
          <w:lang w:val="en-GB"/>
        </w:rPr>
        <w:t xml:space="preserve">Order of the Croatian Star with Effigy of Marko Marulić </w:t>
      </w:r>
      <w:r w:rsidR="00B752EC" w:rsidRPr="007C3B73">
        <w:rPr>
          <w:rFonts w:ascii="Titillium Web" w:hAnsi="Titillium Web"/>
          <w:noProof/>
          <w:sz w:val="22"/>
          <w:szCs w:val="22"/>
          <w:lang w:val="en-GB"/>
        </w:rPr>
        <w:t>for his exceptional achievements in culture and the promotion of Croatian culture both at home and abroad.</w:t>
      </w:r>
    </w:p>
    <w:p w14:paraId="7AC9BEBE" w14:textId="1A9A7CB2" w:rsidR="000D4DE6" w:rsidRDefault="000D4DE6" w:rsidP="00EE616E">
      <w:pPr>
        <w:pStyle w:val="NormalWeb"/>
        <w:spacing w:before="0" w:beforeAutospacing="0" w:after="120" w:line="300" w:lineRule="exact"/>
        <w:jc w:val="both"/>
        <w:rPr>
          <w:rFonts w:ascii="Titillium Web" w:hAnsi="Titillium Web"/>
          <w:noProof/>
          <w:sz w:val="22"/>
          <w:szCs w:val="22"/>
          <w:lang w:val="en-GB"/>
        </w:rPr>
      </w:pPr>
    </w:p>
    <w:p w14:paraId="3C446BC4" w14:textId="51EBFC4D" w:rsidR="000D4DE6" w:rsidRPr="007C3B73" w:rsidRDefault="000D4DE6" w:rsidP="00EE616E">
      <w:pPr>
        <w:pStyle w:val="NormalWeb"/>
        <w:spacing w:before="0" w:beforeAutospacing="0" w:after="120" w:line="300" w:lineRule="exact"/>
        <w:jc w:val="both"/>
        <w:rPr>
          <w:rFonts w:ascii="Titillium Web" w:hAnsi="Titillium Web"/>
          <w:noProof/>
          <w:sz w:val="22"/>
          <w:szCs w:val="22"/>
          <w:lang w:val="en-GB"/>
        </w:rPr>
      </w:pPr>
    </w:p>
    <w:sectPr w:rsidR="000D4DE6" w:rsidRPr="007C3B73" w:rsidSect="00B1598F">
      <w:headerReference w:type="default" r:id="rId9"/>
      <w:footerReference w:type="default" r:id="rId10"/>
      <w:type w:val="continuous"/>
      <w:pgSz w:w="11906" w:h="16838"/>
      <w:pgMar w:top="1873" w:right="991" w:bottom="2410" w:left="1418" w:header="3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87666" w14:textId="77777777" w:rsidR="00A21E60" w:rsidRDefault="00A21E60" w:rsidP="00945D0C">
      <w:pPr>
        <w:spacing w:after="0" w:line="240" w:lineRule="auto"/>
      </w:pPr>
      <w:r>
        <w:separator/>
      </w:r>
    </w:p>
  </w:endnote>
  <w:endnote w:type="continuationSeparator" w:id="0">
    <w:p w14:paraId="2E82A582" w14:textId="77777777" w:rsidR="00A21E60" w:rsidRDefault="00A21E60" w:rsidP="0094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 Web">
    <w:panose1 w:val="00000500000000000000"/>
    <w:charset w:val="EE"/>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906D" w14:textId="3542D73D" w:rsidR="00A6160B" w:rsidRDefault="00595AB6">
    <w:pPr>
      <w:pStyle w:val="Footer"/>
    </w:pPr>
    <w:r>
      <w:rPr>
        <w:noProof/>
      </w:rPr>
      <w:drawing>
        <wp:anchor distT="0" distB="0" distL="114300" distR="114300" simplePos="0" relativeHeight="251658240" behindDoc="0" locked="0" layoutInCell="1" allowOverlap="1" wp14:anchorId="6048140D" wp14:editId="289B0887">
          <wp:simplePos x="0" y="0"/>
          <wp:positionH relativeFrom="column">
            <wp:posOffset>-900752</wp:posOffset>
          </wp:positionH>
          <wp:positionV relativeFrom="paragraph">
            <wp:posOffset>-1077434</wp:posOffset>
          </wp:positionV>
          <wp:extent cx="7560000" cy="1693189"/>
          <wp:effectExtent l="0" t="0" r="3175" b="2540"/>
          <wp:wrapNone/>
          <wp:docPr id="15218762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76283" name="Picture 1521876283"/>
                  <pic:cNvPicPr/>
                </pic:nvPicPr>
                <pic:blipFill>
                  <a:blip r:embed="rId1">
                    <a:extLst>
                      <a:ext uri="{28A0092B-C50C-407E-A947-70E740481C1C}">
                        <a14:useLocalDpi xmlns:a14="http://schemas.microsoft.com/office/drawing/2010/main" val="0"/>
                      </a:ext>
                    </a:extLst>
                  </a:blip>
                  <a:stretch>
                    <a:fillRect/>
                  </a:stretch>
                </pic:blipFill>
                <pic:spPr>
                  <a:xfrm>
                    <a:off x="0" y="0"/>
                    <a:ext cx="7560000" cy="169318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E799" w14:textId="77777777" w:rsidR="00A21E60" w:rsidRDefault="00A21E60" w:rsidP="00945D0C">
      <w:pPr>
        <w:spacing w:after="0" w:line="240" w:lineRule="auto"/>
      </w:pPr>
      <w:r>
        <w:separator/>
      </w:r>
    </w:p>
  </w:footnote>
  <w:footnote w:type="continuationSeparator" w:id="0">
    <w:p w14:paraId="12B9FEC5" w14:textId="77777777" w:rsidR="00A21E60" w:rsidRDefault="00A21E60" w:rsidP="0094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B906" w14:textId="4C69B6FB" w:rsidR="00A6160B" w:rsidRDefault="00A6160B">
    <w:pPr>
      <w:pStyle w:val="Header"/>
    </w:pPr>
    <w:r>
      <w:rPr>
        <w:noProof/>
      </w:rPr>
      <w:drawing>
        <wp:anchor distT="0" distB="0" distL="0" distR="0" simplePos="0" relativeHeight="251657216" behindDoc="0" locked="1" layoutInCell="1" allowOverlap="0" wp14:anchorId="0E9D88D0" wp14:editId="5FBA0AD7">
          <wp:simplePos x="0" y="0"/>
          <wp:positionH relativeFrom="page">
            <wp:align>center</wp:align>
          </wp:positionH>
          <wp:positionV relativeFrom="topMargin">
            <wp:posOffset>0</wp:posOffset>
          </wp:positionV>
          <wp:extent cx="7560000" cy="1191600"/>
          <wp:effectExtent l="0" t="0" r="3175" b="8890"/>
          <wp:wrapNone/>
          <wp:docPr id="9873251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76795" name="Picture 1163176795"/>
                  <pic:cNvPicPr/>
                </pic:nvPicPr>
                <pic:blipFill>
                  <a:blip r:embed="rId1">
                    <a:extLst>
                      <a:ext uri="{28A0092B-C50C-407E-A947-70E740481C1C}">
                        <a14:useLocalDpi xmlns:a14="http://schemas.microsoft.com/office/drawing/2010/main" val="0"/>
                      </a:ext>
                    </a:extLst>
                  </a:blip>
                  <a:stretch>
                    <a:fillRect/>
                  </a:stretch>
                </pic:blipFill>
                <pic:spPr>
                  <a:xfrm>
                    <a:off x="0" y="0"/>
                    <a:ext cx="7560000" cy="11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F6563A"/>
    <w:multiLevelType w:val="hybridMultilevel"/>
    <w:tmpl w:val="D39477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8357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C3D"/>
    <w:rsid w:val="00004E05"/>
    <w:rsid w:val="00010DA7"/>
    <w:rsid w:val="00026B15"/>
    <w:rsid w:val="000400E4"/>
    <w:rsid w:val="000452E6"/>
    <w:rsid w:val="0005450F"/>
    <w:rsid w:val="00055F82"/>
    <w:rsid w:val="00062DD1"/>
    <w:rsid w:val="00071944"/>
    <w:rsid w:val="000A3BAB"/>
    <w:rsid w:val="000B753A"/>
    <w:rsid w:val="000C59EF"/>
    <w:rsid w:val="000C6823"/>
    <w:rsid w:val="000D4DE6"/>
    <w:rsid w:val="000D6529"/>
    <w:rsid w:val="000E6DE9"/>
    <w:rsid w:val="00107CBE"/>
    <w:rsid w:val="0011062B"/>
    <w:rsid w:val="00124856"/>
    <w:rsid w:val="00125F01"/>
    <w:rsid w:val="00127892"/>
    <w:rsid w:val="001343EF"/>
    <w:rsid w:val="00136ACE"/>
    <w:rsid w:val="001426B6"/>
    <w:rsid w:val="00146FA7"/>
    <w:rsid w:val="00150AD0"/>
    <w:rsid w:val="0015119C"/>
    <w:rsid w:val="00151DC7"/>
    <w:rsid w:val="001541E6"/>
    <w:rsid w:val="001808C3"/>
    <w:rsid w:val="00181BD5"/>
    <w:rsid w:val="0019502E"/>
    <w:rsid w:val="001A25FA"/>
    <w:rsid w:val="001A63B7"/>
    <w:rsid w:val="001B12DF"/>
    <w:rsid w:val="001B66F3"/>
    <w:rsid w:val="001C5DA3"/>
    <w:rsid w:val="001C64E2"/>
    <w:rsid w:val="001D0A8C"/>
    <w:rsid w:val="001D5C3D"/>
    <w:rsid w:val="001E4559"/>
    <w:rsid w:val="001E6517"/>
    <w:rsid w:val="001E7DFC"/>
    <w:rsid w:val="002101AA"/>
    <w:rsid w:val="00211636"/>
    <w:rsid w:val="002123C3"/>
    <w:rsid w:val="00213476"/>
    <w:rsid w:val="00227E6C"/>
    <w:rsid w:val="00234770"/>
    <w:rsid w:val="002421F2"/>
    <w:rsid w:val="00245CCF"/>
    <w:rsid w:val="002500AF"/>
    <w:rsid w:val="00253A5B"/>
    <w:rsid w:val="00274FEE"/>
    <w:rsid w:val="00285735"/>
    <w:rsid w:val="00290BF1"/>
    <w:rsid w:val="00293202"/>
    <w:rsid w:val="0029730D"/>
    <w:rsid w:val="002A03EF"/>
    <w:rsid w:val="002A14B7"/>
    <w:rsid w:val="002A24D2"/>
    <w:rsid w:val="002C1704"/>
    <w:rsid w:val="002E1BBC"/>
    <w:rsid w:val="00303458"/>
    <w:rsid w:val="0031158B"/>
    <w:rsid w:val="003225F9"/>
    <w:rsid w:val="00341566"/>
    <w:rsid w:val="0034468D"/>
    <w:rsid w:val="00357D81"/>
    <w:rsid w:val="00375E38"/>
    <w:rsid w:val="003922FE"/>
    <w:rsid w:val="003B03A0"/>
    <w:rsid w:val="003B0E32"/>
    <w:rsid w:val="003C0BE9"/>
    <w:rsid w:val="003D059A"/>
    <w:rsid w:val="003E27EE"/>
    <w:rsid w:val="003E5DC8"/>
    <w:rsid w:val="003E6120"/>
    <w:rsid w:val="00420DEB"/>
    <w:rsid w:val="004268D6"/>
    <w:rsid w:val="0043139F"/>
    <w:rsid w:val="00436559"/>
    <w:rsid w:val="00450C07"/>
    <w:rsid w:val="00453F60"/>
    <w:rsid w:val="00461398"/>
    <w:rsid w:val="00463B5B"/>
    <w:rsid w:val="00483C71"/>
    <w:rsid w:val="00493132"/>
    <w:rsid w:val="004B2E85"/>
    <w:rsid w:val="004D1B7D"/>
    <w:rsid w:val="004D3D22"/>
    <w:rsid w:val="004D3DE1"/>
    <w:rsid w:val="004E2EC4"/>
    <w:rsid w:val="004E32DF"/>
    <w:rsid w:val="004E3B39"/>
    <w:rsid w:val="004F4302"/>
    <w:rsid w:val="004F5863"/>
    <w:rsid w:val="00511768"/>
    <w:rsid w:val="00516A9A"/>
    <w:rsid w:val="00522351"/>
    <w:rsid w:val="005249F7"/>
    <w:rsid w:val="00533146"/>
    <w:rsid w:val="00535CD9"/>
    <w:rsid w:val="00536CE5"/>
    <w:rsid w:val="00536E36"/>
    <w:rsid w:val="005651F2"/>
    <w:rsid w:val="00576190"/>
    <w:rsid w:val="00582DD8"/>
    <w:rsid w:val="00583421"/>
    <w:rsid w:val="00594777"/>
    <w:rsid w:val="00595AB6"/>
    <w:rsid w:val="00595DCC"/>
    <w:rsid w:val="005A3747"/>
    <w:rsid w:val="005A4DA7"/>
    <w:rsid w:val="005B2E63"/>
    <w:rsid w:val="005B53DC"/>
    <w:rsid w:val="005C0958"/>
    <w:rsid w:val="005C5E02"/>
    <w:rsid w:val="005E4C6B"/>
    <w:rsid w:val="005E7665"/>
    <w:rsid w:val="005F0AC3"/>
    <w:rsid w:val="00622E6F"/>
    <w:rsid w:val="00627AC5"/>
    <w:rsid w:val="00631DE1"/>
    <w:rsid w:val="00635016"/>
    <w:rsid w:val="00646B16"/>
    <w:rsid w:val="006530C8"/>
    <w:rsid w:val="006629CE"/>
    <w:rsid w:val="00670F99"/>
    <w:rsid w:val="00687CCE"/>
    <w:rsid w:val="00687CE6"/>
    <w:rsid w:val="006942DD"/>
    <w:rsid w:val="006944DF"/>
    <w:rsid w:val="006A78D2"/>
    <w:rsid w:val="006D240E"/>
    <w:rsid w:val="006E7C93"/>
    <w:rsid w:val="006F4DC0"/>
    <w:rsid w:val="006F67B9"/>
    <w:rsid w:val="007055A8"/>
    <w:rsid w:val="007075B9"/>
    <w:rsid w:val="007130D1"/>
    <w:rsid w:val="0071336E"/>
    <w:rsid w:val="00721664"/>
    <w:rsid w:val="007318C1"/>
    <w:rsid w:val="00736B9C"/>
    <w:rsid w:val="007377BC"/>
    <w:rsid w:val="00742B91"/>
    <w:rsid w:val="00752DF4"/>
    <w:rsid w:val="007578A4"/>
    <w:rsid w:val="00757E5A"/>
    <w:rsid w:val="00760FCC"/>
    <w:rsid w:val="00761F5C"/>
    <w:rsid w:val="00764CE6"/>
    <w:rsid w:val="00766993"/>
    <w:rsid w:val="00787ABA"/>
    <w:rsid w:val="00795AD5"/>
    <w:rsid w:val="007A5865"/>
    <w:rsid w:val="007A77E3"/>
    <w:rsid w:val="007B44A4"/>
    <w:rsid w:val="007C3B73"/>
    <w:rsid w:val="007C4650"/>
    <w:rsid w:val="007D0DE7"/>
    <w:rsid w:val="007D27A2"/>
    <w:rsid w:val="007D62E0"/>
    <w:rsid w:val="007F01F8"/>
    <w:rsid w:val="0081313E"/>
    <w:rsid w:val="0082053C"/>
    <w:rsid w:val="0082324D"/>
    <w:rsid w:val="00823E37"/>
    <w:rsid w:val="008266BA"/>
    <w:rsid w:val="008437DF"/>
    <w:rsid w:val="008529B5"/>
    <w:rsid w:val="00876C9F"/>
    <w:rsid w:val="008868CE"/>
    <w:rsid w:val="00886D66"/>
    <w:rsid w:val="008A2A57"/>
    <w:rsid w:val="008D37E0"/>
    <w:rsid w:val="008F2D56"/>
    <w:rsid w:val="008F592B"/>
    <w:rsid w:val="008F78EC"/>
    <w:rsid w:val="00920453"/>
    <w:rsid w:val="009348D5"/>
    <w:rsid w:val="009374D4"/>
    <w:rsid w:val="00945D0C"/>
    <w:rsid w:val="009570C7"/>
    <w:rsid w:val="00961CA9"/>
    <w:rsid w:val="0096224D"/>
    <w:rsid w:val="0096274D"/>
    <w:rsid w:val="009647E1"/>
    <w:rsid w:val="00992201"/>
    <w:rsid w:val="009E0396"/>
    <w:rsid w:val="00A21E60"/>
    <w:rsid w:val="00A22C63"/>
    <w:rsid w:val="00A2371D"/>
    <w:rsid w:val="00A24D54"/>
    <w:rsid w:val="00A36F9F"/>
    <w:rsid w:val="00A370CD"/>
    <w:rsid w:val="00A43057"/>
    <w:rsid w:val="00A50F3F"/>
    <w:rsid w:val="00A518F9"/>
    <w:rsid w:val="00A6160B"/>
    <w:rsid w:val="00A67C0E"/>
    <w:rsid w:val="00A67DA4"/>
    <w:rsid w:val="00A77D3C"/>
    <w:rsid w:val="00A90262"/>
    <w:rsid w:val="00A90A0B"/>
    <w:rsid w:val="00A977B6"/>
    <w:rsid w:val="00AA411E"/>
    <w:rsid w:val="00AC01A9"/>
    <w:rsid w:val="00AC1F6E"/>
    <w:rsid w:val="00AF0FBA"/>
    <w:rsid w:val="00AF5B71"/>
    <w:rsid w:val="00B111DE"/>
    <w:rsid w:val="00B114F5"/>
    <w:rsid w:val="00B14C93"/>
    <w:rsid w:val="00B1598F"/>
    <w:rsid w:val="00B15AB9"/>
    <w:rsid w:val="00B33EAD"/>
    <w:rsid w:val="00B61058"/>
    <w:rsid w:val="00B65752"/>
    <w:rsid w:val="00B752EC"/>
    <w:rsid w:val="00B868A4"/>
    <w:rsid w:val="00B87C91"/>
    <w:rsid w:val="00B96763"/>
    <w:rsid w:val="00BB709D"/>
    <w:rsid w:val="00BC063C"/>
    <w:rsid w:val="00BC2983"/>
    <w:rsid w:val="00BC6F31"/>
    <w:rsid w:val="00BD07A3"/>
    <w:rsid w:val="00BE144A"/>
    <w:rsid w:val="00BF2DB3"/>
    <w:rsid w:val="00BF7B6F"/>
    <w:rsid w:val="00C0283B"/>
    <w:rsid w:val="00C10148"/>
    <w:rsid w:val="00C1510A"/>
    <w:rsid w:val="00C41026"/>
    <w:rsid w:val="00C4241C"/>
    <w:rsid w:val="00C53851"/>
    <w:rsid w:val="00C60D80"/>
    <w:rsid w:val="00C61423"/>
    <w:rsid w:val="00C80C82"/>
    <w:rsid w:val="00C97406"/>
    <w:rsid w:val="00CB0BEA"/>
    <w:rsid w:val="00CB6189"/>
    <w:rsid w:val="00CC1D8E"/>
    <w:rsid w:val="00CC3097"/>
    <w:rsid w:val="00CD2AF3"/>
    <w:rsid w:val="00CE65EC"/>
    <w:rsid w:val="00CF0D23"/>
    <w:rsid w:val="00D026CC"/>
    <w:rsid w:val="00D10FF2"/>
    <w:rsid w:val="00D17821"/>
    <w:rsid w:val="00D36EA2"/>
    <w:rsid w:val="00D470B7"/>
    <w:rsid w:val="00D81DAF"/>
    <w:rsid w:val="00D83631"/>
    <w:rsid w:val="00D866E6"/>
    <w:rsid w:val="00DA6870"/>
    <w:rsid w:val="00DB1980"/>
    <w:rsid w:val="00DC41FB"/>
    <w:rsid w:val="00DC52A7"/>
    <w:rsid w:val="00DC7261"/>
    <w:rsid w:val="00DD2ED0"/>
    <w:rsid w:val="00DD724D"/>
    <w:rsid w:val="00DE396C"/>
    <w:rsid w:val="00DE7FDE"/>
    <w:rsid w:val="00E15820"/>
    <w:rsid w:val="00E2248C"/>
    <w:rsid w:val="00E22766"/>
    <w:rsid w:val="00E2676C"/>
    <w:rsid w:val="00E31A54"/>
    <w:rsid w:val="00E328F1"/>
    <w:rsid w:val="00E34E2C"/>
    <w:rsid w:val="00E37C2D"/>
    <w:rsid w:val="00E47D22"/>
    <w:rsid w:val="00E54236"/>
    <w:rsid w:val="00E72E13"/>
    <w:rsid w:val="00E802E3"/>
    <w:rsid w:val="00E8195E"/>
    <w:rsid w:val="00E91254"/>
    <w:rsid w:val="00E91C0C"/>
    <w:rsid w:val="00E939CA"/>
    <w:rsid w:val="00EA495A"/>
    <w:rsid w:val="00EA5223"/>
    <w:rsid w:val="00EA7246"/>
    <w:rsid w:val="00EB072F"/>
    <w:rsid w:val="00EB4FF5"/>
    <w:rsid w:val="00EC27E9"/>
    <w:rsid w:val="00EC33E7"/>
    <w:rsid w:val="00EC79F3"/>
    <w:rsid w:val="00ED0497"/>
    <w:rsid w:val="00ED46D7"/>
    <w:rsid w:val="00EE616E"/>
    <w:rsid w:val="00EF1860"/>
    <w:rsid w:val="00EF1F5F"/>
    <w:rsid w:val="00F103B3"/>
    <w:rsid w:val="00F31B94"/>
    <w:rsid w:val="00F33A18"/>
    <w:rsid w:val="00F33F42"/>
    <w:rsid w:val="00F47241"/>
    <w:rsid w:val="00F474E8"/>
    <w:rsid w:val="00F51996"/>
    <w:rsid w:val="00F570EC"/>
    <w:rsid w:val="00F657DA"/>
    <w:rsid w:val="00F71FC0"/>
    <w:rsid w:val="00F73658"/>
    <w:rsid w:val="00F74171"/>
    <w:rsid w:val="00F8367B"/>
    <w:rsid w:val="00FA40C6"/>
    <w:rsid w:val="00FC0359"/>
    <w:rsid w:val="00FC0460"/>
    <w:rsid w:val="00FC13FD"/>
    <w:rsid w:val="00FC7E2D"/>
    <w:rsid w:val="00FD479D"/>
    <w:rsid w:val="00FF4FBF"/>
    <w:rsid w:val="00FF5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4B5BC"/>
  <w15:docId w15:val="{F19F30D5-339B-4A0D-A23D-4DA1A34D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097"/>
  </w:style>
  <w:style w:type="paragraph" w:styleId="Heading1">
    <w:name w:val="heading 1"/>
    <w:basedOn w:val="Normal"/>
    <w:next w:val="Normal"/>
    <w:link w:val="Heading1Char"/>
    <w:uiPriority w:val="9"/>
    <w:qFormat/>
    <w:rsid w:val="0028573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5C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C3D"/>
    <w:rPr>
      <w:rFonts w:ascii="Tahoma" w:hAnsi="Tahoma" w:cs="Tahoma"/>
      <w:sz w:val="16"/>
      <w:szCs w:val="16"/>
    </w:rPr>
  </w:style>
  <w:style w:type="paragraph" w:styleId="ListParagraph">
    <w:name w:val="List Paragraph"/>
    <w:basedOn w:val="Normal"/>
    <w:uiPriority w:val="34"/>
    <w:qFormat/>
    <w:rsid w:val="00BF2DB3"/>
    <w:pPr>
      <w:ind w:left="720"/>
      <w:contextualSpacing/>
    </w:pPr>
  </w:style>
  <w:style w:type="character" w:styleId="CommentReference">
    <w:name w:val="annotation reference"/>
    <w:basedOn w:val="DefaultParagraphFont"/>
    <w:uiPriority w:val="99"/>
    <w:semiHidden/>
    <w:unhideWhenUsed/>
    <w:rsid w:val="00D866E6"/>
    <w:rPr>
      <w:sz w:val="16"/>
      <w:szCs w:val="16"/>
    </w:rPr>
  </w:style>
  <w:style w:type="paragraph" w:styleId="CommentText">
    <w:name w:val="annotation text"/>
    <w:basedOn w:val="Normal"/>
    <w:link w:val="CommentTextChar"/>
    <w:uiPriority w:val="99"/>
    <w:semiHidden/>
    <w:unhideWhenUsed/>
    <w:rsid w:val="00D866E6"/>
    <w:pPr>
      <w:spacing w:line="240" w:lineRule="auto"/>
    </w:pPr>
    <w:rPr>
      <w:sz w:val="20"/>
      <w:szCs w:val="20"/>
    </w:rPr>
  </w:style>
  <w:style w:type="character" w:customStyle="1" w:styleId="CommentTextChar">
    <w:name w:val="Comment Text Char"/>
    <w:basedOn w:val="DefaultParagraphFont"/>
    <w:link w:val="CommentText"/>
    <w:uiPriority w:val="99"/>
    <w:semiHidden/>
    <w:rsid w:val="00D866E6"/>
    <w:rPr>
      <w:sz w:val="20"/>
      <w:szCs w:val="20"/>
    </w:rPr>
  </w:style>
  <w:style w:type="paragraph" w:styleId="CommentSubject">
    <w:name w:val="annotation subject"/>
    <w:basedOn w:val="CommentText"/>
    <w:next w:val="CommentText"/>
    <w:link w:val="CommentSubjectChar"/>
    <w:uiPriority w:val="99"/>
    <w:semiHidden/>
    <w:unhideWhenUsed/>
    <w:rsid w:val="00D866E6"/>
    <w:rPr>
      <w:b/>
      <w:bCs/>
    </w:rPr>
  </w:style>
  <w:style w:type="character" w:customStyle="1" w:styleId="CommentSubjectChar">
    <w:name w:val="Comment Subject Char"/>
    <w:basedOn w:val="CommentTextChar"/>
    <w:link w:val="CommentSubject"/>
    <w:uiPriority w:val="99"/>
    <w:semiHidden/>
    <w:rsid w:val="00D866E6"/>
    <w:rPr>
      <w:b/>
      <w:bCs/>
      <w:sz w:val="20"/>
      <w:szCs w:val="20"/>
    </w:rPr>
  </w:style>
  <w:style w:type="character" w:styleId="Hyperlink">
    <w:name w:val="Hyperlink"/>
    <w:basedOn w:val="DefaultParagraphFont"/>
    <w:uiPriority w:val="99"/>
    <w:semiHidden/>
    <w:unhideWhenUsed/>
    <w:rsid w:val="0096274D"/>
    <w:rPr>
      <w:color w:val="0000FF"/>
      <w:u w:val="single"/>
    </w:rPr>
  </w:style>
  <w:style w:type="character" w:customStyle="1" w:styleId="Heading1Char">
    <w:name w:val="Heading 1 Char"/>
    <w:basedOn w:val="DefaultParagraphFont"/>
    <w:link w:val="Heading1"/>
    <w:uiPriority w:val="9"/>
    <w:rsid w:val="00285735"/>
    <w:rPr>
      <w:rFonts w:asciiTheme="majorHAnsi" w:eastAsiaTheme="majorEastAsia" w:hAnsiTheme="majorHAnsi" w:cstheme="majorBidi"/>
      <w:b/>
      <w:bCs/>
      <w:color w:val="365F91" w:themeColor="accent1" w:themeShade="BF"/>
      <w:sz w:val="28"/>
      <w:szCs w:val="28"/>
      <w:lang w:eastAsia="hr-HR"/>
    </w:rPr>
  </w:style>
  <w:style w:type="character" w:styleId="Strong">
    <w:name w:val="Strong"/>
    <w:basedOn w:val="DefaultParagraphFont"/>
    <w:uiPriority w:val="22"/>
    <w:qFormat/>
    <w:rsid w:val="008437DF"/>
    <w:rPr>
      <w:b/>
      <w:bCs/>
    </w:rPr>
  </w:style>
  <w:style w:type="paragraph" w:styleId="NormalWeb">
    <w:name w:val="Normal (Web)"/>
    <w:basedOn w:val="Normal"/>
    <w:uiPriority w:val="99"/>
    <w:unhideWhenUsed/>
    <w:rsid w:val="008F78EC"/>
    <w:pPr>
      <w:spacing w:before="100" w:beforeAutospacing="1" w:after="142"/>
    </w:pPr>
    <w:rPr>
      <w:rFonts w:ascii="Times New Roman" w:eastAsia="Times New Roman" w:hAnsi="Times New Roman" w:cs="Times New Roman"/>
      <w:sz w:val="24"/>
      <w:szCs w:val="24"/>
      <w:lang w:eastAsia="hr-HR"/>
    </w:rPr>
  </w:style>
  <w:style w:type="paragraph" w:styleId="Header">
    <w:name w:val="header"/>
    <w:basedOn w:val="Normal"/>
    <w:link w:val="HeaderChar"/>
    <w:uiPriority w:val="99"/>
    <w:unhideWhenUsed/>
    <w:rsid w:val="00945D0C"/>
    <w:pPr>
      <w:tabs>
        <w:tab w:val="center" w:pos="4536"/>
        <w:tab w:val="right" w:pos="9072"/>
      </w:tabs>
      <w:spacing w:after="0" w:line="240" w:lineRule="auto"/>
    </w:pPr>
  </w:style>
  <w:style w:type="character" w:customStyle="1" w:styleId="HeaderChar">
    <w:name w:val="Header Char"/>
    <w:basedOn w:val="DefaultParagraphFont"/>
    <w:link w:val="Header"/>
    <w:uiPriority w:val="99"/>
    <w:rsid w:val="00945D0C"/>
  </w:style>
  <w:style w:type="paragraph" w:styleId="Footer">
    <w:name w:val="footer"/>
    <w:basedOn w:val="Normal"/>
    <w:link w:val="FooterChar"/>
    <w:uiPriority w:val="99"/>
    <w:unhideWhenUsed/>
    <w:rsid w:val="00945D0C"/>
    <w:pPr>
      <w:tabs>
        <w:tab w:val="center" w:pos="4536"/>
        <w:tab w:val="right" w:pos="9072"/>
      </w:tabs>
      <w:spacing w:after="0" w:line="240" w:lineRule="auto"/>
    </w:pPr>
  </w:style>
  <w:style w:type="character" w:customStyle="1" w:styleId="FooterChar">
    <w:name w:val="Footer Char"/>
    <w:basedOn w:val="DefaultParagraphFont"/>
    <w:link w:val="Footer"/>
    <w:uiPriority w:val="99"/>
    <w:rsid w:val="00945D0C"/>
  </w:style>
  <w:style w:type="character" w:styleId="Emphasis">
    <w:name w:val="Emphasis"/>
    <w:basedOn w:val="DefaultParagraphFont"/>
    <w:uiPriority w:val="20"/>
    <w:qFormat/>
    <w:rsid w:val="00B752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8201">
      <w:bodyDiv w:val="1"/>
      <w:marLeft w:val="0"/>
      <w:marRight w:val="0"/>
      <w:marTop w:val="0"/>
      <w:marBottom w:val="0"/>
      <w:divBdr>
        <w:top w:val="none" w:sz="0" w:space="0" w:color="auto"/>
        <w:left w:val="none" w:sz="0" w:space="0" w:color="auto"/>
        <w:bottom w:val="none" w:sz="0" w:space="0" w:color="auto"/>
        <w:right w:val="none" w:sz="0" w:space="0" w:color="auto"/>
      </w:divBdr>
    </w:div>
    <w:div w:id="136000040">
      <w:bodyDiv w:val="1"/>
      <w:marLeft w:val="0"/>
      <w:marRight w:val="0"/>
      <w:marTop w:val="0"/>
      <w:marBottom w:val="0"/>
      <w:divBdr>
        <w:top w:val="none" w:sz="0" w:space="0" w:color="auto"/>
        <w:left w:val="none" w:sz="0" w:space="0" w:color="auto"/>
        <w:bottom w:val="none" w:sz="0" w:space="0" w:color="auto"/>
        <w:right w:val="none" w:sz="0" w:space="0" w:color="auto"/>
      </w:divBdr>
    </w:div>
    <w:div w:id="165368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718C8-5AC9-4668-AF78-F389184C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1327</Words>
  <Characters>7570</Characters>
  <Application>Microsoft Office Word</Application>
  <DocSecurity>0</DocSecurity>
  <Lines>63</Lines>
  <Paragraphs>17</Paragraphs>
  <ScaleCrop>false</ScaleCrop>
  <HeadingPairs>
    <vt:vector size="6" baseType="variant">
      <vt:variant>
        <vt:lpstr>Title</vt:lpstr>
      </vt:variant>
      <vt:variant>
        <vt:i4>1</vt:i4>
      </vt:variant>
      <vt:variant>
        <vt:lpstr>Naslov</vt:lpstr>
      </vt:variant>
      <vt:variant>
        <vt:i4>1</vt:i4>
      </vt:variant>
      <vt:variant>
        <vt:lpstr>Titel</vt:lpstr>
      </vt:variant>
      <vt:variant>
        <vt:i4>1</vt:i4>
      </vt:variant>
    </vt:vector>
  </HeadingPairs>
  <TitlesOfParts>
    <vt:vector size="3" baseType="lpstr">
      <vt:lpstr/>
      <vt:lpstr/>
      <vt:lpstr/>
    </vt:vector>
  </TitlesOfParts>
  <Company>Hewlett-Packard</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Danijel Iveta</cp:lastModifiedBy>
  <cp:revision>15</cp:revision>
  <dcterms:created xsi:type="dcterms:W3CDTF">2026-02-24T12:22:00Z</dcterms:created>
  <dcterms:modified xsi:type="dcterms:W3CDTF">2026-02-24T14:32:00Z</dcterms:modified>
</cp:coreProperties>
</file>